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Бизнес-аналитика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аналитика»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«Бизнес-аналитика».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«Бизнес-аналитика»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63.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инструментов бизнес-аналитики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Сбалансированная система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устойчивого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дивидендов в организации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бизнес-процессов. Принципы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 – процессов, свойства, виды,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производственной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эффективности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Пооперационный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пооперационного учета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Комплексная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комплексной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эффективности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комплексной оценки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678.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организационного моделирования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организационного моделирования. Миссия организации. Роль миссии организации, шаги ее описания.</w:t>
            </w:r>
          </w:p>
          <w:p>
            <w:pPr>
              <w:jc w:val="both"/>
              <w:spacing w:after="0" w:line="240" w:lineRule="auto"/>
              <w:rPr>
                <w:sz w:val="24"/>
                <w:szCs w:val="24"/>
              </w:rPr>
            </w:pPr>
            <w:r>
              <w:rPr>
                <w:rFonts w:ascii="Times New Roman" w:hAnsi="Times New Roman" w:cs="Times New Roman"/>
                <w:color w:val="#000000"/>
                <w:sz w:val="24"/>
                <w:szCs w:val="24"/>
              </w:rPr>
              <w:t> Описание бизнес – потенциала, матрица коммерческой ответственности. Описание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 – функционала, матрица функциональной ответственности. Дерево целей и дерево стратегий.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сбалансированной системы показателей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сбалансированной системы показателей (ССП), решаемы с ее помощью задачи.</w:t>
            </w:r>
          </w:p>
          <w:p>
            <w:pPr>
              <w:jc w:val="both"/>
              <w:spacing w:after="0" w:line="240" w:lineRule="auto"/>
              <w:rPr>
                <w:sz w:val="24"/>
                <w:szCs w:val="24"/>
              </w:rPr>
            </w:pPr>
            <w:r>
              <w:rPr>
                <w:rFonts w:ascii="Times New Roman" w:hAnsi="Times New Roman" w:cs="Times New Roman"/>
                <w:color w:val="#000000"/>
                <w:sz w:val="24"/>
                <w:szCs w:val="24"/>
              </w:rPr>
              <w:t> Общие критерии успешности организации.</w:t>
            </w:r>
          </w:p>
          <w:p>
            <w:pPr>
              <w:jc w:val="both"/>
              <w:spacing w:after="0" w:line="240" w:lineRule="auto"/>
              <w:rPr>
                <w:sz w:val="24"/>
                <w:szCs w:val="24"/>
              </w:rPr>
            </w:pPr>
            <w:r>
              <w:rPr>
                <w:rFonts w:ascii="Times New Roman" w:hAnsi="Times New Roman" w:cs="Times New Roman"/>
                <w:color w:val="#000000"/>
                <w:sz w:val="24"/>
                <w:szCs w:val="24"/>
              </w:rPr>
              <w:t> 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 готовность информационного капитала. Стратегическая готовность организационного капитала.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 – процессов, свойства, виды, характеристика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w:t>
            </w:r>
          </w:p>
          <w:p>
            <w:pPr>
              <w:jc w:val="both"/>
              <w:spacing w:after="0" w:line="240" w:lineRule="auto"/>
              <w:rPr>
                <w:sz w:val="24"/>
                <w:szCs w:val="24"/>
              </w:rPr>
            </w:pPr>
            <w:r>
              <w:rPr>
                <w:rFonts w:ascii="Times New Roman" w:hAnsi="Times New Roman" w:cs="Times New Roman"/>
                <w:color w:val="#000000"/>
                <w:sz w:val="24"/>
                <w:szCs w:val="24"/>
              </w:rPr>
              <w:t> 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затрат по видам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pPr>
              <w:jc w:val="both"/>
              <w:spacing w:after="0" w:line="240" w:lineRule="auto"/>
              <w:rPr>
                <w:sz w:val="24"/>
                <w:szCs w:val="24"/>
              </w:rPr>
            </w:pPr>
            <w:r>
              <w:rPr>
                <w:rFonts w:ascii="Times New Roman" w:hAnsi="Times New Roman" w:cs="Times New Roman"/>
                <w:color w:val="#000000"/>
                <w:sz w:val="24"/>
                <w:szCs w:val="24"/>
              </w:rPr>
              <w:t> 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комплексной оценка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формирования экономических показателей как база комплексного анализа.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инструментов бизнес-аналитики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и инструменты бизнес  - аналитика</w:t>
            </w:r>
          </w:p>
          <w:p>
            <w:pPr>
              <w:jc w:val="both"/>
              <w:spacing w:after="0" w:line="240" w:lineRule="auto"/>
              <w:rPr>
                <w:sz w:val="24"/>
                <w:szCs w:val="24"/>
              </w:rPr>
            </w:pPr>
            <w:r>
              <w:rPr>
                <w:rFonts w:ascii="Times New Roman" w:hAnsi="Times New Roman" w:cs="Times New Roman"/>
                <w:color w:val="#000000"/>
                <w:sz w:val="24"/>
                <w:szCs w:val="24"/>
              </w:rPr>
              <w:t> Методы сбора и анализа требований</w:t>
            </w:r>
          </w:p>
          <w:p>
            <w:pPr>
              <w:jc w:val="both"/>
              <w:spacing w:after="0" w:line="240" w:lineRule="auto"/>
              <w:rPr>
                <w:sz w:val="24"/>
                <w:szCs w:val="24"/>
              </w:rPr>
            </w:pPr>
            <w:r>
              <w:rPr>
                <w:rFonts w:ascii="Times New Roman" w:hAnsi="Times New Roman" w:cs="Times New Roman"/>
                <w:color w:val="#000000"/>
                <w:sz w:val="24"/>
                <w:szCs w:val="24"/>
              </w:rPr>
              <w:t> Карьера бизнес аналитика в производственных отраслях.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устойчивого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устойчивого развития как фактор эффективного управления компанией</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 как инструмент управления стратегическим развитием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дивидендов в организации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Дивидендная политика как инструмент повышения стоимости бизнеса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результативности текущей производственно-экономической деятельности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ресурсного потенциала организации: место в системе управления бизнесом и современные проблемы</w:t>
            </w:r>
          </w:p>
          <w:p>
            <w:pPr>
              <w:jc w:val="both"/>
              <w:spacing w:after="0" w:line="240" w:lineRule="auto"/>
              <w:rPr>
                <w:sz w:val="24"/>
                <w:szCs w:val="24"/>
              </w:rPr>
            </w:pPr>
            <w:r>
              <w:rPr>
                <w:rFonts w:ascii="Times New Roman" w:hAnsi="Times New Roman" w:cs="Times New Roman"/>
                <w:color w:val="#000000"/>
                <w:sz w:val="24"/>
                <w:szCs w:val="24"/>
              </w:rPr>
              <w:t> Анализ эффективности использования ресурсов организации (в том числе, по видам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производственной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функция в деятельности фирмы.</w:t>
            </w:r>
          </w:p>
          <w:p>
            <w:pPr>
              <w:jc w:val="both"/>
              <w:spacing w:after="0" w:line="240" w:lineRule="auto"/>
              <w:rPr>
                <w:sz w:val="24"/>
                <w:szCs w:val="24"/>
              </w:rPr>
            </w:pPr>
            <w:r>
              <w:rPr>
                <w:rFonts w:ascii="Times New Roman" w:hAnsi="Times New Roman" w:cs="Times New Roman"/>
                <w:color w:val="#000000"/>
                <w:sz w:val="24"/>
                <w:szCs w:val="24"/>
              </w:rPr>
              <w:t> Сущность хозяйственного механизма, его своеобразие в отраслях.</w:t>
            </w:r>
          </w:p>
          <w:p>
            <w:pPr>
              <w:jc w:val="both"/>
              <w:spacing w:after="0" w:line="240" w:lineRule="auto"/>
              <w:rPr>
                <w:sz w:val="24"/>
                <w:szCs w:val="24"/>
              </w:rPr>
            </w:pPr>
            <w:r>
              <w:rPr>
                <w:rFonts w:ascii="Times New Roman" w:hAnsi="Times New Roman" w:cs="Times New Roman"/>
                <w:color w:val="#000000"/>
                <w:sz w:val="24"/>
                <w:szCs w:val="24"/>
              </w:rPr>
              <w:t> Экономические выгоды производства.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эффективности ресурсов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капиталом с учетом специфики нематериальных активов компании</w:t>
            </w:r>
          </w:p>
          <w:p>
            <w:pPr>
              <w:jc w:val="both"/>
              <w:spacing w:after="0" w:line="240" w:lineRule="auto"/>
              <w:rPr>
                <w:sz w:val="24"/>
                <w:szCs w:val="24"/>
              </w:rPr>
            </w:pPr>
            <w:r>
              <w:rPr>
                <w:rFonts w:ascii="Times New Roman" w:hAnsi="Times New Roman" w:cs="Times New Roman"/>
                <w:color w:val="#000000"/>
                <w:sz w:val="24"/>
                <w:szCs w:val="24"/>
              </w:rPr>
              <w:t> Проектирование системы управления компанией на основе ключевых показателей эффективности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 по видам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системы ABC, использование коэффициентов распределения затрат.</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деятельности фирмы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оценки эффективности деятельности фирмы.</w:t>
            </w:r>
          </w:p>
          <w:p>
            <w:pPr>
              <w:jc w:val="both"/>
              <w:spacing w:after="0" w:line="240" w:lineRule="auto"/>
              <w:rPr>
                <w:sz w:val="24"/>
                <w:szCs w:val="24"/>
              </w:rPr>
            </w:pPr>
            <w:r>
              <w:rPr>
                <w:rFonts w:ascii="Times New Roman" w:hAnsi="Times New Roman" w:cs="Times New Roman"/>
                <w:color w:val="#000000"/>
                <w:sz w:val="24"/>
                <w:szCs w:val="24"/>
              </w:rPr>
              <w:t> Повышение эффективности деятельности фирмы.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технико-организационного уровня производства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эффективности бизнеса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финансового состояния предприятия. Комплексный анализ и оценка эффективности бизнеса.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аналитика»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2023-2024_ФГОС3++2023_Бак-ОФО-Э(УАиА)(23)_plx_Бизнес-аналитика</dc:title>
  <dc:creator>FastReport.NET</dc:creator>
</cp:coreProperties>
</file>